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F6EDA3">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44"/>
          <w:szCs w:val="44"/>
          <w:lang w:val="en-US" w:eastAsia="zh-CN"/>
        </w:rPr>
        <w:t>附件：</w:t>
      </w:r>
      <w:r>
        <w:rPr>
          <w:rFonts w:hint="eastAsia" w:ascii="黑体" w:hAnsi="黑体" w:eastAsia="黑体" w:cs="黑体"/>
          <w:sz w:val="32"/>
          <w:szCs w:val="32"/>
          <w:lang w:val="en-US" w:eastAsia="zh-CN"/>
        </w:rPr>
        <w:t xml:space="preserve">              </w:t>
      </w:r>
    </w:p>
    <w:p w14:paraId="62CA9D86">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p>
    <w:p w14:paraId="235CA635">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080" w:firstLineChars="700"/>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采购需求文件</w:t>
      </w:r>
    </w:p>
    <w:p w14:paraId="62DB0D17">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w:t>
      </w:r>
    </w:p>
    <w:p w14:paraId="0DAEB53E">
      <w:pPr>
        <w:pStyle w:val="5"/>
        <w:keepNext w:val="0"/>
        <w:keepLines w:val="0"/>
        <w:pageBreakBefore w:val="0"/>
        <w:widowControl/>
        <w:suppressLineNumbers w:val="0"/>
        <w:kinsoku/>
        <w:wordWrap w:val="0"/>
        <w:overflowPunct/>
        <w:topLinePunct w:val="0"/>
        <w:autoSpaceDE/>
        <w:autoSpaceDN/>
        <w:bidi w:val="0"/>
        <w:adjustRightInd/>
        <w:snapToGrid/>
        <w:spacing w:before="75" w:beforeAutospacing="0" w:after="75" w:afterAutospacing="0" w:line="560" w:lineRule="exact"/>
        <w:ind w:right="0" w:firstLine="640" w:firstLineChars="200"/>
        <w:textAlignment w:val="auto"/>
        <w:rPr>
          <w:rFonts w:hint="eastAsia" w:ascii="仿宋_GB2312" w:hAnsi="仿宋_GB2312" w:eastAsia="仿宋_GB2312" w:cs="仿宋_GB2312"/>
          <w:i w:val="0"/>
          <w:iCs w:val="0"/>
          <w:caps w:val="0"/>
          <w:color w:val="000000"/>
          <w:spacing w:val="0"/>
          <w:sz w:val="32"/>
          <w:szCs w:val="32"/>
          <w:lang w:val="en-US" w:eastAsia="zh-CN"/>
        </w:rPr>
      </w:pPr>
      <w:r>
        <w:rPr>
          <w:rFonts w:hint="eastAsia" w:ascii="仿宋_GB2312" w:hAnsi="仿宋_GB2312" w:eastAsia="仿宋_GB2312" w:cs="仿宋_GB2312"/>
          <w:b w:val="0"/>
          <w:bCs w:val="0"/>
          <w:sz w:val="32"/>
          <w:szCs w:val="32"/>
          <w:lang w:val="en-US" w:eastAsia="zh-CN"/>
        </w:rPr>
        <w:t>一、项目名称：</w:t>
      </w:r>
      <w:r>
        <w:rPr>
          <w:rStyle w:val="9"/>
          <w:rFonts w:hint="eastAsia" w:ascii="仿宋_GB2312" w:hAnsi="仿宋_GB2312" w:eastAsia="仿宋_GB2312" w:cs="仿宋_GB2312"/>
          <w:i w:val="0"/>
          <w:iCs w:val="0"/>
          <w:caps w:val="0"/>
          <w:color w:val="000000"/>
          <w:spacing w:val="0"/>
          <w:sz w:val="32"/>
          <w:szCs w:val="32"/>
          <w:lang w:val="en-US" w:eastAsia="zh-CN"/>
        </w:rPr>
        <w:t>贵州省广播电视局机关职工</w:t>
      </w:r>
      <w:r>
        <w:rPr>
          <w:rStyle w:val="9"/>
          <w:rFonts w:hint="eastAsia" w:ascii="仿宋_GB2312" w:hAnsi="仿宋_GB2312" w:eastAsia="仿宋_GB2312" w:cs="仿宋_GB2312"/>
          <w:i w:val="0"/>
          <w:iCs w:val="0"/>
          <w:caps w:val="0"/>
          <w:color w:val="000000"/>
          <w:spacing w:val="0"/>
          <w:sz w:val="32"/>
          <w:szCs w:val="32"/>
        </w:rPr>
        <w:t>食堂</w:t>
      </w:r>
      <w:r>
        <w:rPr>
          <w:rStyle w:val="9"/>
          <w:rFonts w:hint="eastAsia" w:ascii="仿宋_GB2312" w:hAnsi="仿宋_GB2312" w:eastAsia="仿宋_GB2312" w:cs="仿宋_GB2312"/>
          <w:i w:val="0"/>
          <w:iCs w:val="0"/>
          <w:caps w:val="0"/>
          <w:color w:val="000000"/>
          <w:spacing w:val="0"/>
          <w:sz w:val="32"/>
          <w:szCs w:val="32"/>
          <w:lang w:val="en-US" w:eastAsia="zh-CN"/>
        </w:rPr>
        <w:t>服务商</w:t>
      </w:r>
      <w:r>
        <w:rPr>
          <w:rStyle w:val="9"/>
          <w:rFonts w:hint="eastAsia" w:ascii="仿宋_GB2312" w:hAnsi="仿宋_GB2312" w:eastAsia="仿宋_GB2312" w:cs="仿宋_GB2312"/>
          <w:i w:val="0"/>
          <w:iCs w:val="0"/>
          <w:caps w:val="0"/>
          <w:color w:val="000000"/>
          <w:spacing w:val="0"/>
          <w:sz w:val="32"/>
          <w:szCs w:val="32"/>
        </w:rPr>
        <w:t>项目</w:t>
      </w:r>
      <w:r>
        <w:rPr>
          <w:rStyle w:val="9"/>
          <w:rFonts w:hint="eastAsia" w:ascii="仿宋_GB2312" w:hAnsi="仿宋_GB2312" w:eastAsia="仿宋_GB2312" w:cs="仿宋_GB2312"/>
          <w:i w:val="0"/>
          <w:iCs w:val="0"/>
          <w:caps w:val="0"/>
          <w:color w:val="000000"/>
          <w:spacing w:val="0"/>
          <w:sz w:val="32"/>
          <w:szCs w:val="32"/>
          <w:lang w:val="en-US" w:eastAsia="zh-CN"/>
        </w:rPr>
        <w:t>采购</w:t>
      </w:r>
    </w:p>
    <w:p w14:paraId="0BD3A6C1">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采购内容：为贵州省广播电视局机关职工提供早、中餐供餐。合同履约期：一年。食堂服务商须按要求提供营养搭配、膳食管理的服务，全方位满足我单位干部职工餐饮需求。食堂服务商需保持职工食堂（包含但不限于备餐区、用餐区）环境整洁有序。食堂服务人员持有效的健康证。食堂服务商需确保食材安全，做好食材采购进出库登记、食品加工等工作；食堂服务人员统一配置专业服装，包括帽子和口罩。食堂服务商需制定清洁制度，每个服务日的清洁记录需上墙。食堂内需配备垃圾分类收集设施，桌面放置骨碟，做好厨余垃圾清理工作。</w:t>
      </w:r>
    </w:p>
    <w:p w14:paraId="60A6A8B5">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三、用餐服务：</w:t>
      </w:r>
    </w:p>
    <w:p w14:paraId="74F2013C">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280" w:firstLineChars="4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早餐：07:30--08:30</w:t>
      </w:r>
    </w:p>
    <w:p w14:paraId="4CE75910">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280" w:firstLineChars="4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中餐：12:00--13:00</w:t>
      </w:r>
    </w:p>
    <w:p w14:paraId="0EC457B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餐食质量管理</w:t>
      </w:r>
    </w:p>
    <w:p w14:paraId="0D0E2D8D">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为保障职工身体健康，满足就餐者饮食和营养的需要，食堂所提供的食材必须品种多样、搭配合理、营养丰富、价格适宜，并且符合食品卫生要求。品种要求：每周应有相应的菜谱，菜谱要求一周之内基本不重样，每周四须提前与机关服务中心协商下一周菜单后，周五12:00时前进行公布。如因工作需要增加用餐人数或调整菜单会提前1个工作日通知，服务商要保证餐量充足，保证就餐需求。质量要求：保质保量，色、香、味俱佳，质价相符，具有合理的营养搭配，且符合食品卫生要求。</w:t>
      </w:r>
    </w:p>
    <w:tbl>
      <w:tblPr>
        <w:tblStyle w:val="7"/>
        <w:tblpPr w:leftFromText="180" w:rightFromText="180" w:vertAnchor="text" w:horzAnchor="page" w:tblpX="1979" w:tblpY="301"/>
        <w:tblOverlap w:val="never"/>
        <w:tblW w:w="8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6"/>
        <w:gridCol w:w="2507"/>
        <w:gridCol w:w="4865"/>
      </w:tblGrid>
      <w:tr w14:paraId="2526B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1386" w:type="dxa"/>
            <w:vAlign w:val="center"/>
          </w:tcPr>
          <w:p w14:paraId="3A7AD9D1">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507" w:type="dxa"/>
            <w:vAlign w:val="center"/>
          </w:tcPr>
          <w:p w14:paraId="1EDF4006">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餐时</w:t>
            </w:r>
          </w:p>
        </w:tc>
        <w:tc>
          <w:tcPr>
            <w:tcW w:w="4865" w:type="dxa"/>
            <w:vAlign w:val="center"/>
          </w:tcPr>
          <w:p w14:paraId="066E1BFB">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餐品</w:t>
            </w:r>
          </w:p>
        </w:tc>
      </w:tr>
      <w:tr w14:paraId="2515E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386" w:type="dxa"/>
            <w:vAlign w:val="center"/>
          </w:tcPr>
          <w:p w14:paraId="0351D238">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一</w:t>
            </w:r>
          </w:p>
        </w:tc>
        <w:tc>
          <w:tcPr>
            <w:tcW w:w="2507" w:type="dxa"/>
            <w:vAlign w:val="center"/>
          </w:tcPr>
          <w:p w14:paraId="419EE187">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早餐</w:t>
            </w:r>
          </w:p>
        </w:tc>
        <w:tc>
          <w:tcPr>
            <w:tcW w:w="4865" w:type="dxa"/>
            <w:vAlign w:val="center"/>
          </w:tcPr>
          <w:p w14:paraId="5E725EBC">
            <w:pPr>
              <w:jc w:val="center"/>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val="0"/>
                <w:bCs w:val="0"/>
                <w:color w:val="auto"/>
                <w:w w:val="99"/>
                <w:sz w:val="28"/>
                <w:szCs w:val="28"/>
              </w:rPr>
              <w:t>现场制作</w:t>
            </w:r>
          </w:p>
        </w:tc>
      </w:tr>
      <w:tr w14:paraId="5812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386" w:type="dxa"/>
            <w:vAlign w:val="center"/>
          </w:tcPr>
          <w:p w14:paraId="5449CA75">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507" w:type="dxa"/>
            <w:vAlign w:val="center"/>
          </w:tcPr>
          <w:p w14:paraId="143BD125">
            <w:pPr>
              <w:jc w:val="center"/>
              <w:rPr>
                <w:rFonts w:hint="eastAsia" w:ascii="仿宋_GB2312" w:hAnsi="仿宋_GB2312" w:eastAsia="仿宋_GB2312" w:cs="仿宋_GB2312"/>
                <w:sz w:val="28"/>
                <w:szCs w:val="28"/>
                <w:vertAlign w:val="baseline"/>
              </w:rPr>
            </w:pPr>
            <w:r>
              <w:rPr>
                <w:rFonts w:hint="eastAsia" w:ascii="仿宋_GB2312" w:hAnsi="仿宋_GB2312" w:eastAsia="仿宋_GB2312" w:cs="仿宋_GB2312"/>
                <w:color w:val="auto"/>
                <w:w w:val="99"/>
                <w:sz w:val="28"/>
                <w:szCs w:val="28"/>
                <w:lang w:val="en-US" w:eastAsia="zh-CN"/>
              </w:rPr>
              <w:t>牛奶、豆浆、</w:t>
            </w:r>
            <w:r>
              <w:rPr>
                <w:rFonts w:hint="eastAsia" w:ascii="仿宋_GB2312" w:hAnsi="仿宋_GB2312" w:eastAsia="仿宋_GB2312" w:cs="仿宋_GB2312"/>
                <w:color w:val="auto"/>
                <w:w w:val="99"/>
                <w:sz w:val="28"/>
                <w:szCs w:val="28"/>
              </w:rPr>
              <w:t>鸡蛋</w:t>
            </w:r>
          </w:p>
        </w:tc>
        <w:tc>
          <w:tcPr>
            <w:tcW w:w="4865" w:type="dxa"/>
            <w:vAlign w:val="center"/>
          </w:tcPr>
          <w:p w14:paraId="398855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color w:val="auto"/>
                <w:sz w:val="28"/>
                <w:szCs w:val="28"/>
                <w:lang w:val="en-US" w:eastAsia="zh-CN"/>
              </w:rPr>
              <w:t>牛奶或豆浆</w:t>
            </w:r>
            <w:r>
              <w:rPr>
                <w:rFonts w:hint="eastAsia" w:ascii="仿宋_GB2312" w:hAnsi="仿宋_GB2312" w:eastAsia="仿宋_GB2312" w:cs="仿宋_GB2312"/>
                <w:color w:val="auto"/>
                <w:sz w:val="28"/>
                <w:szCs w:val="28"/>
              </w:rPr>
              <w:t>、水煮蛋</w:t>
            </w:r>
            <w:r>
              <w:rPr>
                <w:rFonts w:hint="eastAsia" w:ascii="仿宋_GB2312" w:hAnsi="仿宋_GB2312" w:eastAsia="仿宋_GB2312" w:cs="仿宋_GB2312"/>
                <w:color w:val="auto"/>
                <w:sz w:val="28"/>
                <w:szCs w:val="28"/>
                <w:lang w:val="en-US" w:eastAsia="zh-CN"/>
              </w:rPr>
              <w:t>或</w:t>
            </w:r>
            <w:r>
              <w:rPr>
                <w:rFonts w:hint="eastAsia" w:ascii="仿宋_GB2312" w:hAnsi="仿宋_GB2312" w:eastAsia="仿宋_GB2312" w:cs="仿宋_GB2312"/>
                <w:color w:val="auto"/>
                <w:sz w:val="28"/>
                <w:szCs w:val="28"/>
              </w:rPr>
              <w:t>卤蛋（每日</w:t>
            </w:r>
            <w:r>
              <w:rPr>
                <w:rFonts w:hint="eastAsia" w:ascii="仿宋_GB2312" w:hAnsi="仿宋_GB2312" w:eastAsia="仿宋_GB2312" w:cs="仿宋_GB2312"/>
                <w:color w:val="auto"/>
                <w:sz w:val="28"/>
                <w:szCs w:val="28"/>
                <w:lang w:val="en-US" w:eastAsia="zh-CN"/>
              </w:rPr>
              <w:t>轮</w:t>
            </w:r>
            <w:r>
              <w:rPr>
                <w:rFonts w:hint="eastAsia" w:ascii="仿宋_GB2312" w:hAnsi="仿宋_GB2312" w:eastAsia="仿宋_GB2312" w:cs="仿宋_GB2312"/>
                <w:color w:val="auto"/>
                <w:sz w:val="28"/>
                <w:szCs w:val="28"/>
              </w:rPr>
              <w:t>换一种）</w:t>
            </w:r>
          </w:p>
        </w:tc>
      </w:tr>
      <w:tr w14:paraId="25113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1" w:hRule="atLeast"/>
        </w:trPr>
        <w:tc>
          <w:tcPr>
            <w:tcW w:w="1386" w:type="dxa"/>
            <w:vAlign w:val="center"/>
          </w:tcPr>
          <w:p w14:paraId="797A8B88">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507" w:type="dxa"/>
            <w:vAlign w:val="center"/>
          </w:tcPr>
          <w:p w14:paraId="644A0D52">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主食</w:t>
            </w:r>
          </w:p>
        </w:tc>
        <w:tc>
          <w:tcPr>
            <w:tcW w:w="4865" w:type="dxa"/>
            <w:vAlign w:val="center"/>
          </w:tcPr>
          <w:p w14:paraId="66DF06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color w:val="auto"/>
                <w:w w:val="96"/>
                <w:sz w:val="28"/>
                <w:szCs w:val="28"/>
              </w:rPr>
              <w:t>米粉、面条、饺子、馄饨等每日任两种主食供应（供</w:t>
            </w:r>
            <w:r>
              <w:rPr>
                <w:rFonts w:hint="eastAsia" w:ascii="仿宋_GB2312" w:hAnsi="仿宋_GB2312" w:eastAsia="仿宋_GB2312" w:cs="仿宋_GB2312"/>
                <w:color w:val="auto"/>
                <w:sz w:val="28"/>
                <w:szCs w:val="28"/>
              </w:rPr>
              <w:t>应粉、面时必须准备两种肉类臊子，如：肉末、辣鸡、软哨、脆哨、炖鸡等，每周必须供应一次馄饨</w:t>
            </w:r>
            <w:r>
              <w:rPr>
                <w:rFonts w:hint="eastAsia" w:ascii="仿宋_GB2312" w:hAnsi="仿宋_GB2312" w:eastAsia="仿宋_GB2312" w:cs="仿宋_GB2312"/>
                <w:color w:val="auto"/>
                <w:sz w:val="28"/>
                <w:szCs w:val="28"/>
                <w:lang w:eastAsia="zh-CN"/>
              </w:rPr>
              <w:t>。</w:t>
            </w:r>
          </w:p>
        </w:tc>
      </w:tr>
      <w:tr w14:paraId="612F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1386" w:type="dxa"/>
            <w:vAlign w:val="center"/>
          </w:tcPr>
          <w:p w14:paraId="70EAAE30">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二</w:t>
            </w:r>
          </w:p>
        </w:tc>
        <w:tc>
          <w:tcPr>
            <w:tcW w:w="2507" w:type="dxa"/>
            <w:vAlign w:val="center"/>
          </w:tcPr>
          <w:p w14:paraId="3BF6238D">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中餐</w:t>
            </w:r>
          </w:p>
        </w:tc>
        <w:tc>
          <w:tcPr>
            <w:tcW w:w="4865" w:type="dxa"/>
            <w:vAlign w:val="center"/>
          </w:tcPr>
          <w:p w14:paraId="338107EF">
            <w:pPr>
              <w:jc w:val="center"/>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val="0"/>
                <w:bCs w:val="0"/>
                <w:color w:val="auto"/>
                <w:w w:val="99"/>
                <w:sz w:val="28"/>
                <w:szCs w:val="28"/>
              </w:rPr>
              <w:t>现场制作</w:t>
            </w:r>
          </w:p>
        </w:tc>
      </w:tr>
      <w:tr w14:paraId="35025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trPr>
        <w:tc>
          <w:tcPr>
            <w:tcW w:w="1386" w:type="dxa"/>
            <w:vAlign w:val="center"/>
          </w:tcPr>
          <w:p w14:paraId="3E4BB9E8">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507" w:type="dxa"/>
            <w:vAlign w:val="center"/>
          </w:tcPr>
          <w:p w14:paraId="509D2A1D">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荤菜</w:t>
            </w:r>
          </w:p>
        </w:tc>
        <w:tc>
          <w:tcPr>
            <w:tcW w:w="4865" w:type="dxa"/>
            <w:vAlign w:val="center"/>
          </w:tcPr>
          <w:p w14:paraId="0FC69D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color w:val="auto"/>
                <w:sz w:val="28"/>
                <w:szCs w:val="28"/>
                <w:lang w:val="en-US" w:eastAsia="zh-CN"/>
              </w:rPr>
              <w:t>两荤三串</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两荤</w:t>
            </w:r>
            <w:r>
              <w:rPr>
                <w:rFonts w:hint="eastAsia" w:ascii="仿宋_GB2312" w:hAnsi="仿宋_GB2312" w:eastAsia="仿宋_GB2312" w:cs="仿宋_GB2312"/>
                <w:color w:val="auto"/>
                <w:sz w:val="28"/>
                <w:szCs w:val="28"/>
              </w:rPr>
              <w:t>每日换一种，每周不重样</w:t>
            </w:r>
            <w:r>
              <w:rPr>
                <w:rFonts w:hint="eastAsia" w:ascii="仿宋_GB2312" w:hAnsi="仿宋_GB2312" w:eastAsia="仿宋_GB2312" w:cs="仿宋_GB2312"/>
                <w:color w:val="auto"/>
                <w:sz w:val="28"/>
                <w:szCs w:val="28"/>
                <w:lang w:eastAsia="zh-CN"/>
              </w:rPr>
              <w:t>）</w:t>
            </w:r>
          </w:p>
        </w:tc>
      </w:tr>
      <w:tr w14:paraId="0AB07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trPr>
        <w:tc>
          <w:tcPr>
            <w:tcW w:w="1386" w:type="dxa"/>
            <w:vAlign w:val="center"/>
          </w:tcPr>
          <w:p w14:paraId="794A0024">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507" w:type="dxa"/>
            <w:vAlign w:val="center"/>
          </w:tcPr>
          <w:p w14:paraId="4B8CFD7A">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素菜</w:t>
            </w:r>
          </w:p>
        </w:tc>
        <w:tc>
          <w:tcPr>
            <w:tcW w:w="4865" w:type="dxa"/>
            <w:vAlign w:val="center"/>
          </w:tcPr>
          <w:p w14:paraId="4752E4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两个</w:t>
            </w:r>
            <w:r>
              <w:rPr>
                <w:rFonts w:hint="eastAsia" w:ascii="仿宋_GB2312" w:hAnsi="仿宋_GB2312" w:eastAsia="仿宋_GB2312" w:cs="仿宋_GB2312"/>
                <w:color w:val="auto"/>
                <w:sz w:val="28"/>
                <w:szCs w:val="28"/>
              </w:rPr>
              <w:t>当季时蔬等（清炒、</w:t>
            </w:r>
            <w:r>
              <w:rPr>
                <w:rFonts w:hint="eastAsia" w:ascii="仿宋_GB2312" w:hAnsi="仿宋_GB2312" w:eastAsia="仿宋_GB2312" w:cs="仿宋_GB2312"/>
                <w:color w:val="auto"/>
                <w:sz w:val="28"/>
                <w:szCs w:val="28"/>
                <w:lang w:val="en-US" w:eastAsia="zh-CN"/>
              </w:rPr>
              <w:t>凉拌、</w:t>
            </w:r>
            <w:r>
              <w:rPr>
                <w:rFonts w:hint="eastAsia" w:ascii="仿宋_GB2312" w:hAnsi="仿宋_GB2312" w:eastAsia="仿宋_GB2312" w:cs="仿宋_GB2312"/>
                <w:color w:val="auto"/>
                <w:sz w:val="28"/>
                <w:szCs w:val="28"/>
              </w:rPr>
              <w:t>炝炒</w:t>
            </w:r>
            <w:r>
              <w:rPr>
                <w:rFonts w:hint="eastAsia" w:ascii="仿宋_GB2312" w:hAnsi="仿宋_GB2312" w:eastAsia="仿宋_GB2312" w:cs="仿宋_GB2312"/>
                <w:color w:val="auto"/>
                <w:sz w:val="28"/>
                <w:szCs w:val="28"/>
                <w:lang w:eastAsia="zh-CN"/>
              </w:rPr>
              <w:t>）</w:t>
            </w:r>
          </w:p>
        </w:tc>
      </w:tr>
      <w:tr w14:paraId="4526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1386" w:type="dxa"/>
            <w:vAlign w:val="center"/>
          </w:tcPr>
          <w:p w14:paraId="1B4AD5AD">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507" w:type="dxa"/>
            <w:vAlign w:val="center"/>
          </w:tcPr>
          <w:p w14:paraId="0B32A076">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汤</w:t>
            </w:r>
          </w:p>
        </w:tc>
        <w:tc>
          <w:tcPr>
            <w:tcW w:w="4865" w:type="dxa"/>
            <w:vAlign w:val="center"/>
          </w:tcPr>
          <w:p w14:paraId="099CB337">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两个（一荤一素）</w:t>
            </w:r>
          </w:p>
        </w:tc>
      </w:tr>
      <w:tr w14:paraId="3CCA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1386" w:type="dxa"/>
            <w:vAlign w:val="center"/>
          </w:tcPr>
          <w:p w14:paraId="2C146B80">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507" w:type="dxa"/>
            <w:vAlign w:val="center"/>
          </w:tcPr>
          <w:p w14:paraId="1B880510">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水果</w:t>
            </w:r>
          </w:p>
        </w:tc>
        <w:tc>
          <w:tcPr>
            <w:tcW w:w="4865" w:type="dxa"/>
            <w:vAlign w:val="center"/>
          </w:tcPr>
          <w:p w14:paraId="7C12B120">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应季水果一种</w:t>
            </w:r>
          </w:p>
        </w:tc>
      </w:tr>
    </w:tbl>
    <w:p w14:paraId="1BD4A198">
      <w:pPr>
        <w:rPr>
          <w:rFonts w:hint="eastAsia"/>
          <w:lang w:val="en-US" w:eastAsia="zh-CN"/>
        </w:rPr>
      </w:pPr>
    </w:p>
    <w:tbl>
      <w:tblPr>
        <w:tblStyle w:val="6"/>
        <w:tblpPr w:leftFromText="180" w:rightFromText="180" w:vertAnchor="text" w:horzAnchor="page" w:tblpX="1587" w:tblpY="192"/>
        <w:tblOverlap w:val="never"/>
        <w:tblW w:w="10993" w:type="dxa"/>
        <w:tblInd w:w="0" w:type="dxa"/>
        <w:tblLayout w:type="fixed"/>
        <w:tblCellMar>
          <w:top w:w="0" w:type="dxa"/>
          <w:left w:w="0" w:type="dxa"/>
          <w:bottom w:w="0" w:type="dxa"/>
          <w:right w:w="0" w:type="dxa"/>
        </w:tblCellMar>
      </w:tblPr>
      <w:tblGrid>
        <w:gridCol w:w="2059"/>
        <w:gridCol w:w="2580"/>
        <w:gridCol w:w="580"/>
        <w:gridCol w:w="2660"/>
        <w:gridCol w:w="551"/>
        <w:gridCol w:w="2563"/>
      </w:tblGrid>
      <w:tr w14:paraId="45084249">
        <w:tblPrEx>
          <w:tblCellMar>
            <w:top w:w="0" w:type="dxa"/>
            <w:left w:w="0" w:type="dxa"/>
            <w:bottom w:w="0" w:type="dxa"/>
            <w:right w:w="0" w:type="dxa"/>
          </w:tblCellMar>
        </w:tblPrEx>
        <w:trPr>
          <w:trHeight w:val="198" w:hRule="atLeast"/>
        </w:trPr>
        <w:tc>
          <w:tcPr>
            <w:tcW w:w="2059" w:type="dxa"/>
            <w:tcBorders>
              <w:left w:val="nil"/>
              <w:bottom w:val="nil"/>
              <w:right w:val="nil"/>
            </w:tcBorders>
            <w:vAlign w:val="bottom"/>
          </w:tcPr>
          <w:p w14:paraId="0761A7E5">
            <w:pPr>
              <w:spacing w:after="0"/>
              <w:rPr>
                <w:color w:val="auto"/>
                <w:sz w:val="9"/>
                <w:szCs w:val="9"/>
              </w:rPr>
            </w:pPr>
          </w:p>
        </w:tc>
        <w:tc>
          <w:tcPr>
            <w:tcW w:w="2580" w:type="dxa"/>
            <w:tcBorders>
              <w:left w:val="nil"/>
              <w:bottom w:val="nil"/>
            </w:tcBorders>
            <w:vAlign w:val="bottom"/>
          </w:tcPr>
          <w:p w14:paraId="36ED3794">
            <w:pPr>
              <w:spacing w:after="0"/>
              <w:rPr>
                <w:color w:val="auto"/>
                <w:sz w:val="9"/>
                <w:szCs w:val="9"/>
              </w:rPr>
            </w:pPr>
          </w:p>
        </w:tc>
        <w:tc>
          <w:tcPr>
            <w:tcW w:w="580" w:type="dxa"/>
            <w:tcBorders>
              <w:bottom w:val="nil"/>
              <w:right w:val="nil"/>
            </w:tcBorders>
            <w:vAlign w:val="bottom"/>
          </w:tcPr>
          <w:p w14:paraId="0FD15C04">
            <w:pPr>
              <w:spacing w:after="0"/>
              <w:rPr>
                <w:color w:val="auto"/>
                <w:sz w:val="9"/>
                <w:szCs w:val="9"/>
              </w:rPr>
            </w:pPr>
          </w:p>
        </w:tc>
        <w:tc>
          <w:tcPr>
            <w:tcW w:w="2660" w:type="dxa"/>
            <w:tcBorders>
              <w:left w:val="nil"/>
              <w:bottom w:val="nil"/>
              <w:right w:val="nil"/>
            </w:tcBorders>
            <w:vAlign w:val="bottom"/>
          </w:tcPr>
          <w:p w14:paraId="59D19D96">
            <w:pPr>
              <w:spacing w:after="0"/>
              <w:rPr>
                <w:color w:val="auto"/>
                <w:sz w:val="9"/>
                <w:szCs w:val="9"/>
              </w:rPr>
            </w:pPr>
          </w:p>
        </w:tc>
        <w:tc>
          <w:tcPr>
            <w:tcW w:w="551" w:type="dxa"/>
            <w:tcBorders>
              <w:left w:val="nil"/>
              <w:bottom w:val="nil"/>
            </w:tcBorders>
            <w:vAlign w:val="bottom"/>
          </w:tcPr>
          <w:p w14:paraId="43FB9D70">
            <w:pPr>
              <w:spacing w:after="0"/>
              <w:rPr>
                <w:color w:val="auto"/>
                <w:sz w:val="9"/>
                <w:szCs w:val="9"/>
              </w:rPr>
            </w:pPr>
          </w:p>
        </w:tc>
        <w:tc>
          <w:tcPr>
            <w:tcW w:w="2563" w:type="dxa"/>
            <w:vAlign w:val="bottom"/>
          </w:tcPr>
          <w:p w14:paraId="3B578A57">
            <w:pPr>
              <w:spacing w:after="0"/>
              <w:rPr>
                <w:color w:val="auto"/>
                <w:sz w:val="9"/>
                <w:szCs w:val="9"/>
              </w:rPr>
            </w:pPr>
          </w:p>
        </w:tc>
      </w:tr>
    </w:tbl>
    <w:tbl>
      <w:tblPr>
        <w:tblStyle w:val="7"/>
        <w:tblpPr w:leftFromText="180" w:rightFromText="180" w:vertAnchor="text" w:tblpX="62" w:tblpY="-11104"/>
        <w:tblOverlap w:val="never"/>
        <w:tblW w:w="3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
      </w:tblGrid>
      <w:tr w14:paraId="4806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trPr>
        <w:tc>
          <w:tcPr>
            <w:tcW w:w="324" w:type="dxa"/>
            <w:tcBorders>
              <w:top w:val="nil"/>
              <w:left w:val="nil"/>
              <w:bottom w:val="nil"/>
              <w:right w:val="nil"/>
            </w:tcBorders>
          </w:tcPr>
          <w:p w14:paraId="74C1BA0F">
            <w:pPr>
              <w:keepNext w:val="0"/>
              <w:keepLines w:val="0"/>
              <w:pageBreakBefore w:val="0"/>
              <w:widowControl w:val="0"/>
              <w:kinsoku/>
              <w:wordWrap/>
              <w:overflowPunct/>
              <w:topLinePunct w:val="0"/>
              <w:autoSpaceDE/>
              <w:autoSpaceDN/>
              <w:bidi w:val="0"/>
              <w:adjustRightInd/>
              <w:snapToGrid/>
              <w:spacing w:after="0" w:line="520" w:lineRule="exact"/>
              <w:jc w:val="both"/>
              <w:textAlignment w:val="auto"/>
              <w:rPr>
                <w:rFonts w:hint="eastAsia" w:ascii="仿宋_GB2312" w:hAnsi="仿宋_GB2312" w:eastAsia="仿宋_GB2312" w:cs="仿宋_GB2312"/>
                <w:color w:val="auto"/>
                <w:sz w:val="32"/>
                <w:szCs w:val="32"/>
                <w:vertAlign w:val="baseline"/>
              </w:rPr>
            </w:pPr>
          </w:p>
        </w:tc>
      </w:tr>
    </w:tbl>
    <w:tbl>
      <w:tblPr>
        <w:tblStyle w:val="7"/>
        <w:tblpPr w:leftFromText="180" w:rightFromText="180" w:vertAnchor="text" w:tblpX="-3393" w:tblpY="-1896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6"/>
      </w:tblGrid>
      <w:tr w14:paraId="5062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 w:hRule="atLeast"/>
        </w:trPr>
        <w:tc>
          <w:tcPr>
            <w:tcW w:w="1756" w:type="dxa"/>
            <w:tcBorders>
              <w:left w:val="nil"/>
              <w:bottom w:val="nil"/>
              <w:right w:val="nil"/>
            </w:tcBorders>
          </w:tcPr>
          <w:p w14:paraId="4C2CBF8C">
            <w:pPr>
              <w:keepNext w:val="0"/>
              <w:keepLines w:val="0"/>
              <w:pageBreakBefore w:val="0"/>
              <w:widowControl w:val="0"/>
              <w:kinsoku/>
              <w:wordWrap/>
              <w:overflowPunct/>
              <w:topLinePunct w:val="0"/>
              <w:autoSpaceDE/>
              <w:autoSpaceDN/>
              <w:bidi w:val="0"/>
              <w:adjustRightInd/>
              <w:snapToGrid/>
              <w:spacing w:after="0" w:line="520" w:lineRule="exact"/>
              <w:jc w:val="both"/>
              <w:textAlignment w:val="auto"/>
              <w:rPr>
                <w:rFonts w:hint="eastAsia" w:ascii="仿宋_GB2312" w:hAnsi="仿宋_GB2312" w:eastAsia="仿宋_GB2312" w:cs="仿宋_GB2312"/>
                <w:color w:val="auto"/>
                <w:sz w:val="32"/>
                <w:szCs w:val="32"/>
                <w:vertAlign w:val="baseline"/>
              </w:rPr>
            </w:pPr>
          </w:p>
        </w:tc>
      </w:tr>
    </w:tbl>
    <w:p w14:paraId="3018185E">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餐标要求:</w:t>
      </w:r>
    </w:p>
    <w:tbl>
      <w:tblPr>
        <w:tblStyle w:val="7"/>
        <w:tblpPr w:leftFromText="180" w:rightFromText="180" w:vertAnchor="text" w:horzAnchor="page" w:tblpX="2131" w:tblpY="1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7"/>
        <w:gridCol w:w="2703"/>
        <w:gridCol w:w="4042"/>
      </w:tblGrid>
      <w:tr w14:paraId="12FB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785" w:type="dxa"/>
            <w:vAlign w:val="center"/>
          </w:tcPr>
          <w:p w14:paraId="064DDA4E">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餐次</w:t>
            </w:r>
          </w:p>
        </w:tc>
        <w:tc>
          <w:tcPr>
            <w:tcW w:w="2715" w:type="dxa"/>
            <w:vAlign w:val="center"/>
          </w:tcPr>
          <w:p w14:paraId="57B6C4DA">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餐标范围（元/人）</w:t>
            </w:r>
          </w:p>
        </w:tc>
        <w:tc>
          <w:tcPr>
            <w:tcW w:w="4063" w:type="dxa"/>
            <w:vAlign w:val="center"/>
          </w:tcPr>
          <w:p w14:paraId="0AE691ED">
            <w:pPr>
              <w:jc w:val="center"/>
              <w:rPr>
                <w:rFonts w:hint="default" w:ascii="仿宋_GB2312" w:hAnsi="仿宋_GB2312" w:eastAsia="仿宋_GB2312" w:cs="仿宋_GB2312"/>
                <w:sz w:val="28"/>
                <w:szCs w:val="28"/>
                <w:vertAlign w:val="baseline"/>
                <w:lang w:val="en-US" w:eastAsia="zh-CN"/>
              </w:rPr>
            </w:pPr>
          </w:p>
        </w:tc>
      </w:tr>
      <w:tr w14:paraId="5971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1785" w:type="dxa"/>
            <w:vAlign w:val="center"/>
          </w:tcPr>
          <w:p w14:paraId="53FA45E9">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早餐</w:t>
            </w:r>
          </w:p>
        </w:tc>
        <w:tc>
          <w:tcPr>
            <w:tcW w:w="2715" w:type="dxa"/>
            <w:vAlign w:val="center"/>
          </w:tcPr>
          <w:p w14:paraId="01546885">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8元</w:t>
            </w:r>
          </w:p>
        </w:tc>
        <w:tc>
          <w:tcPr>
            <w:tcW w:w="4063" w:type="dxa"/>
            <w:vAlign w:val="center"/>
          </w:tcPr>
          <w:p w14:paraId="674F9A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color w:val="auto"/>
                <w:w w:val="99"/>
                <w:sz w:val="28"/>
                <w:szCs w:val="28"/>
              </w:rPr>
              <w:t>含主食、副食、</w:t>
            </w:r>
            <w:r>
              <w:rPr>
                <w:rFonts w:hint="eastAsia" w:ascii="仿宋_GB2312" w:hAnsi="仿宋_GB2312" w:eastAsia="仿宋_GB2312" w:cs="仿宋_GB2312"/>
                <w:color w:val="auto"/>
                <w:w w:val="99"/>
                <w:sz w:val="28"/>
                <w:szCs w:val="28"/>
                <w:lang w:val="en-US" w:eastAsia="zh-CN"/>
              </w:rPr>
              <w:t>牛奶、豆浆、</w:t>
            </w:r>
            <w:r>
              <w:rPr>
                <w:rFonts w:hint="eastAsia" w:ascii="仿宋_GB2312" w:hAnsi="仿宋_GB2312" w:eastAsia="仿宋_GB2312" w:cs="仿宋_GB2312"/>
                <w:color w:val="auto"/>
                <w:w w:val="99"/>
                <w:sz w:val="28"/>
                <w:szCs w:val="28"/>
              </w:rPr>
              <w:t>粥等</w:t>
            </w:r>
          </w:p>
        </w:tc>
      </w:tr>
      <w:tr w14:paraId="2A3C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785" w:type="dxa"/>
            <w:vAlign w:val="center"/>
          </w:tcPr>
          <w:p w14:paraId="6F698A5A">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午餐</w:t>
            </w:r>
          </w:p>
        </w:tc>
        <w:tc>
          <w:tcPr>
            <w:tcW w:w="2715" w:type="dxa"/>
            <w:vAlign w:val="center"/>
          </w:tcPr>
          <w:p w14:paraId="5798B4B1">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17元</w:t>
            </w:r>
          </w:p>
        </w:tc>
        <w:tc>
          <w:tcPr>
            <w:tcW w:w="4063" w:type="dxa"/>
            <w:vAlign w:val="center"/>
          </w:tcPr>
          <w:p w14:paraId="037692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color w:val="auto"/>
                <w:w w:val="99"/>
                <w:sz w:val="28"/>
                <w:szCs w:val="28"/>
                <w:lang w:val="en-US" w:eastAsia="zh-CN"/>
              </w:rPr>
              <w:t>两</w:t>
            </w:r>
            <w:r>
              <w:rPr>
                <w:rFonts w:hint="eastAsia" w:ascii="仿宋_GB2312" w:hAnsi="仿宋_GB2312" w:eastAsia="仿宋_GB2312" w:cs="仿宋_GB2312"/>
                <w:color w:val="auto"/>
                <w:w w:val="99"/>
                <w:sz w:val="28"/>
                <w:szCs w:val="28"/>
              </w:rPr>
              <w:t>荤</w:t>
            </w:r>
            <w:r>
              <w:rPr>
                <w:rFonts w:hint="eastAsia" w:ascii="仿宋_GB2312" w:hAnsi="仿宋_GB2312" w:eastAsia="仿宋_GB2312" w:cs="仿宋_GB2312"/>
                <w:color w:val="auto"/>
                <w:w w:val="99"/>
                <w:sz w:val="28"/>
                <w:szCs w:val="28"/>
                <w:lang w:val="en-US" w:eastAsia="zh-CN"/>
              </w:rPr>
              <w:t>三</w:t>
            </w:r>
            <w:r>
              <w:rPr>
                <w:rFonts w:hint="eastAsia" w:ascii="仿宋_GB2312" w:hAnsi="仿宋_GB2312" w:eastAsia="仿宋_GB2312" w:cs="仿宋_GB2312"/>
                <w:color w:val="auto"/>
                <w:w w:val="99"/>
                <w:sz w:val="28"/>
                <w:szCs w:val="28"/>
              </w:rPr>
              <w:t>串</w:t>
            </w:r>
            <w:r>
              <w:rPr>
                <w:rFonts w:hint="eastAsia" w:ascii="仿宋_GB2312" w:hAnsi="仿宋_GB2312" w:eastAsia="仿宋_GB2312" w:cs="仿宋_GB2312"/>
                <w:color w:val="auto"/>
                <w:w w:val="99"/>
                <w:sz w:val="28"/>
                <w:szCs w:val="28"/>
                <w:lang w:val="en-US" w:eastAsia="zh-CN"/>
              </w:rPr>
              <w:t>两</w:t>
            </w:r>
            <w:r>
              <w:rPr>
                <w:rFonts w:hint="eastAsia" w:ascii="仿宋_GB2312" w:hAnsi="仿宋_GB2312" w:eastAsia="仿宋_GB2312" w:cs="仿宋_GB2312"/>
                <w:color w:val="auto"/>
                <w:w w:val="99"/>
                <w:sz w:val="28"/>
                <w:szCs w:val="28"/>
              </w:rPr>
              <w:t>素</w:t>
            </w:r>
            <w:r>
              <w:rPr>
                <w:rFonts w:hint="eastAsia" w:ascii="仿宋_GB2312" w:hAnsi="仿宋_GB2312" w:eastAsia="仿宋_GB2312" w:cs="仿宋_GB2312"/>
                <w:color w:val="auto"/>
                <w:w w:val="99"/>
                <w:sz w:val="28"/>
                <w:szCs w:val="28"/>
                <w:lang w:val="en-US" w:eastAsia="zh-CN"/>
              </w:rPr>
              <w:t>两</w:t>
            </w:r>
            <w:r>
              <w:rPr>
                <w:rFonts w:hint="eastAsia" w:ascii="仿宋_GB2312" w:hAnsi="仿宋_GB2312" w:eastAsia="仿宋_GB2312" w:cs="仿宋_GB2312"/>
                <w:color w:val="auto"/>
                <w:w w:val="99"/>
                <w:sz w:val="28"/>
                <w:szCs w:val="28"/>
              </w:rPr>
              <w:t>汤+主食</w:t>
            </w:r>
            <w:r>
              <w:rPr>
                <w:rFonts w:hint="eastAsia" w:ascii="仿宋_GB2312" w:hAnsi="仿宋_GB2312" w:eastAsia="仿宋_GB2312" w:cs="仿宋_GB2312"/>
                <w:color w:val="auto"/>
                <w:w w:val="99"/>
                <w:sz w:val="28"/>
                <w:szCs w:val="28"/>
                <w:lang w:eastAsia="zh-CN"/>
              </w:rPr>
              <w:t>，</w:t>
            </w:r>
            <w:r>
              <w:rPr>
                <w:rFonts w:hint="eastAsia" w:ascii="仿宋_GB2312" w:hAnsi="仿宋_GB2312" w:eastAsia="仿宋_GB2312" w:cs="仿宋_GB2312"/>
                <w:color w:val="auto"/>
                <w:w w:val="99"/>
                <w:sz w:val="28"/>
                <w:szCs w:val="28"/>
                <w:lang w:val="en-US" w:eastAsia="zh-CN"/>
              </w:rPr>
              <w:t>应季水果一种</w:t>
            </w:r>
          </w:p>
        </w:tc>
      </w:tr>
      <w:tr w14:paraId="585E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1785" w:type="dxa"/>
            <w:vAlign w:val="center"/>
          </w:tcPr>
          <w:p w14:paraId="72071A8D">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日均餐标</w:t>
            </w:r>
          </w:p>
        </w:tc>
        <w:tc>
          <w:tcPr>
            <w:tcW w:w="2715" w:type="dxa"/>
            <w:vAlign w:val="center"/>
          </w:tcPr>
          <w:p w14:paraId="692F31E7">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25元</w:t>
            </w:r>
          </w:p>
        </w:tc>
        <w:tc>
          <w:tcPr>
            <w:tcW w:w="4063" w:type="dxa"/>
            <w:vAlign w:val="center"/>
          </w:tcPr>
          <w:p w14:paraId="6B8C1DA8">
            <w:pPr>
              <w:jc w:val="center"/>
              <w:rPr>
                <w:rFonts w:hint="default" w:ascii="仿宋_GB2312" w:hAnsi="仿宋_GB2312" w:eastAsia="仿宋_GB2312" w:cs="仿宋_GB2312"/>
                <w:sz w:val="28"/>
                <w:szCs w:val="28"/>
                <w:vertAlign w:val="baseline"/>
                <w:lang w:val="en-US" w:eastAsia="zh-CN"/>
              </w:rPr>
            </w:pPr>
          </w:p>
        </w:tc>
      </w:tr>
    </w:tbl>
    <w:p w14:paraId="5C2415A3">
      <w:pPr>
        <w:keepNext w:val="0"/>
        <w:keepLines w:val="0"/>
        <w:pageBreakBefore w:val="0"/>
        <w:widowControl w:val="0"/>
        <w:kinsoku/>
        <w:wordWrap/>
        <w:overflowPunct/>
        <w:topLinePunct w:val="0"/>
        <w:autoSpaceDE/>
        <w:autoSpaceDN/>
        <w:bidi w:val="0"/>
        <w:adjustRightInd/>
        <w:snapToGrid/>
        <w:spacing w:after="0" w:line="52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2.卫生管理</w:t>
      </w:r>
    </w:p>
    <w:p w14:paraId="3D07147A">
      <w:pPr>
        <w:keepNext w:val="0"/>
        <w:keepLines w:val="0"/>
        <w:pageBreakBefore w:val="0"/>
        <w:widowControl w:val="0"/>
        <w:kinsoku/>
        <w:wordWrap/>
        <w:overflowPunct/>
        <w:topLinePunct w:val="0"/>
        <w:autoSpaceDE/>
        <w:autoSpaceDN/>
        <w:bidi w:val="0"/>
        <w:adjustRightInd/>
        <w:snapToGrid/>
        <w:spacing w:after="0" w:line="52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严格按照《中华人民共和国食品安全法》的相关规定和要求，</w:t>
      </w:r>
      <w:r>
        <w:rPr>
          <w:rFonts w:hint="eastAsia" w:ascii="仿宋_GB2312" w:hAnsi="仿宋_GB2312" w:eastAsia="仿宋_GB2312" w:cs="仿宋_GB2312"/>
          <w:color w:val="auto"/>
          <w:sz w:val="32"/>
          <w:szCs w:val="32"/>
          <w:lang w:val="en-US" w:eastAsia="zh-CN"/>
        </w:rPr>
        <w:t>食堂服务商</w:t>
      </w:r>
      <w:r>
        <w:rPr>
          <w:rFonts w:hint="eastAsia" w:ascii="仿宋_GB2312" w:hAnsi="仿宋_GB2312" w:eastAsia="仿宋_GB2312" w:cs="仿宋_GB2312"/>
          <w:color w:val="auto"/>
          <w:sz w:val="32"/>
          <w:szCs w:val="32"/>
        </w:rPr>
        <w:t>应搞好食品卫生、环境卫生，预防食品中毒。按相关要求建立好台账、留样、消毒记录。自觉接受并配合我单位及上级相关部门的检查监督。食用餐具卫生：实行“四过关”。一洗、二涮、三冲、四消毒；一次性餐盒</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必须符合国家对餐具的检测达标标准。环境卫生：采取“四定”办法。定人、定物、定时间、定质量。具有健全的卫生清洁制度，保持厨房、就餐区、仓储区整洁卫生。采取有效消除蚊蝇、蟑螂和其他有害昆虫的措施。仓储区保持通风良好，防腐、防尘、防鼠措施需到位。污水排放符合环保要求，保持明渠、暗渠畅通，做好食堂垃圾干湿分类、干湿投放工作。餐厨垃圾按相关要求由专业公司收集处理。厨房、就餐区地板无积水。</w:t>
      </w:r>
    </w:p>
    <w:p w14:paraId="5E81E4A9">
      <w:pPr>
        <w:keepNext w:val="0"/>
        <w:keepLines w:val="0"/>
        <w:pageBreakBefore w:val="0"/>
        <w:widowControl w:val="0"/>
        <w:kinsoku/>
        <w:wordWrap/>
        <w:overflowPunct/>
        <w:topLinePunct w:val="0"/>
        <w:autoSpaceDE/>
        <w:autoSpaceDN/>
        <w:bidi w:val="0"/>
        <w:adjustRightInd/>
        <w:snapToGrid/>
        <w:spacing w:after="0" w:line="52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食品安全：由原料到成品实行安全管理制度：</w:t>
      </w:r>
      <w:r>
        <w:rPr>
          <w:rFonts w:hint="eastAsia" w:ascii="仿宋_GB2312" w:hAnsi="仿宋_GB2312" w:eastAsia="仿宋_GB2312" w:cs="仿宋_GB2312"/>
          <w:color w:val="auto"/>
          <w:sz w:val="32"/>
          <w:szCs w:val="32"/>
          <w:lang w:val="en-US" w:eastAsia="zh-CN"/>
        </w:rPr>
        <w:t>食堂服务商</w:t>
      </w:r>
      <w:r>
        <w:rPr>
          <w:rFonts w:hint="eastAsia" w:ascii="仿宋_GB2312" w:hAnsi="仿宋_GB2312" w:eastAsia="仿宋_GB2312" w:cs="仿宋_GB2312"/>
          <w:color w:val="auto"/>
          <w:sz w:val="32"/>
          <w:szCs w:val="32"/>
        </w:rPr>
        <w:t>不得采购腐烂变质的原料；保管员不验收腐烂变质的原料；加工人员不使用腐烂变质的原料。成品存放实行“四隔离”：生与熟隔离；成品与半成品隔离：食品与杂物、药物隔离；食品与天然冰隔离。从业人员卫生要求：</w:t>
      </w:r>
      <w:r>
        <w:rPr>
          <w:rFonts w:hint="eastAsia" w:ascii="仿宋_GB2312" w:hAnsi="仿宋_GB2312" w:eastAsia="仿宋_GB2312" w:cs="仿宋_GB2312"/>
          <w:color w:val="auto"/>
          <w:sz w:val="32"/>
          <w:szCs w:val="32"/>
          <w:lang w:val="en-US" w:eastAsia="zh-CN"/>
        </w:rPr>
        <w:t>食堂服务商</w:t>
      </w:r>
      <w:r>
        <w:rPr>
          <w:rFonts w:hint="eastAsia" w:ascii="仿宋_GB2312" w:hAnsi="仿宋_GB2312" w:eastAsia="仿宋_GB2312" w:cs="仿宋_GB2312"/>
          <w:color w:val="auto"/>
          <w:sz w:val="32"/>
          <w:szCs w:val="32"/>
        </w:rPr>
        <w:t>员工必须具有有效的健康证，应做到仪表整洁，不留长发长指甲，不留胡须，上岗时按要求穿戴好工作服、工作帽和口罩，不得佩戴饰物，不得在工作间抽烟、吃零食。员工应勤换洗衣服，勤洗澡，定期检查身体，接受预防注射，患有传染病的员工必须停止工作，未经防疫部门允许不得从事食堂的工作。</w:t>
      </w:r>
    </w:p>
    <w:p w14:paraId="6D5D07C7">
      <w:pPr>
        <w:keepNext w:val="0"/>
        <w:keepLines w:val="0"/>
        <w:pageBreakBefore w:val="0"/>
        <w:widowControl w:val="0"/>
        <w:kinsoku/>
        <w:wordWrap/>
        <w:overflowPunct/>
        <w:topLinePunct w:val="0"/>
        <w:autoSpaceDE/>
        <w:autoSpaceDN/>
        <w:bidi w:val="0"/>
        <w:adjustRightInd/>
        <w:snapToGrid/>
        <w:spacing w:after="0" w:line="52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食品卫生安全监督部门：</w:t>
      </w:r>
      <w:r>
        <w:rPr>
          <w:rFonts w:hint="eastAsia" w:ascii="仿宋_GB2312" w:hAnsi="仿宋_GB2312" w:eastAsia="仿宋_GB2312" w:cs="仿宋_GB2312"/>
          <w:color w:val="auto"/>
          <w:sz w:val="32"/>
          <w:szCs w:val="32"/>
          <w:lang w:val="en-US" w:eastAsia="zh-CN"/>
        </w:rPr>
        <w:t>食堂服务商</w:t>
      </w:r>
      <w:r>
        <w:rPr>
          <w:rFonts w:hint="eastAsia" w:ascii="仿宋_GB2312" w:hAnsi="仿宋_GB2312" w:eastAsia="仿宋_GB2312" w:cs="仿宋_GB2312"/>
          <w:color w:val="auto"/>
          <w:sz w:val="32"/>
          <w:szCs w:val="32"/>
        </w:rPr>
        <w:t>接受地方防疫部门及主管部门食品药品监督管理局的监督检查和业务指导。当天收到对菜品的投诉后，</w:t>
      </w:r>
      <w:r>
        <w:rPr>
          <w:rFonts w:hint="eastAsia" w:ascii="仿宋_GB2312" w:hAnsi="仿宋_GB2312" w:eastAsia="仿宋_GB2312" w:cs="仿宋_GB2312"/>
          <w:color w:val="auto"/>
          <w:sz w:val="32"/>
          <w:szCs w:val="32"/>
          <w:lang w:val="en-US" w:eastAsia="zh-CN"/>
        </w:rPr>
        <w:t>机关服务中心</w:t>
      </w:r>
      <w:r>
        <w:rPr>
          <w:rFonts w:hint="eastAsia" w:ascii="仿宋_GB2312" w:hAnsi="仿宋_GB2312" w:eastAsia="仿宋_GB2312" w:cs="仿宋_GB2312"/>
          <w:color w:val="auto"/>
          <w:sz w:val="32"/>
          <w:szCs w:val="32"/>
        </w:rPr>
        <w:t>当日可要求试菜，如投诉属实，责令整改，累计整改3次后仍然出现投诉，</w:t>
      </w:r>
      <w:r>
        <w:rPr>
          <w:rFonts w:hint="eastAsia" w:ascii="仿宋_GB2312" w:hAnsi="仿宋_GB2312" w:eastAsia="仿宋_GB2312" w:cs="仿宋_GB2312"/>
          <w:color w:val="auto"/>
          <w:sz w:val="32"/>
          <w:szCs w:val="32"/>
          <w:lang w:val="en-US" w:eastAsia="zh-CN"/>
        </w:rPr>
        <w:t>机关服务中心</w:t>
      </w:r>
      <w:r>
        <w:rPr>
          <w:rFonts w:hint="eastAsia" w:ascii="仿宋_GB2312" w:hAnsi="仿宋_GB2312" w:eastAsia="仿宋_GB2312" w:cs="仿宋_GB2312"/>
          <w:color w:val="auto"/>
          <w:sz w:val="32"/>
          <w:szCs w:val="32"/>
        </w:rPr>
        <w:t>有权与</w:t>
      </w:r>
      <w:r>
        <w:rPr>
          <w:rFonts w:hint="eastAsia" w:ascii="仿宋_GB2312" w:hAnsi="仿宋_GB2312" w:eastAsia="仿宋_GB2312" w:cs="仿宋_GB2312"/>
          <w:color w:val="auto"/>
          <w:sz w:val="32"/>
          <w:szCs w:val="32"/>
          <w:lang w:val="en-US" w:eastAsia="zh-CN"/>
        </w:rPr>
        <w:t>食堂服务商</w:t>
      </w:r>
      <w:r>
        <w:rPr>
          <w:rFonts w:hint="eastAsia" w:ascii="仿宋_GB2312" w:hAnsi="仿宋_GB2312" w:eastAsia="仿宋_GB2312" w:cs="仿宋_GB2312"/>
          <w:color w:val="auto"/>
          <w:sz w:val="32"/>
          <w:szCs w:val="32"/>
        </w:rPr>
        <w:t>解除</w:t>
      </w:r>
      <w:r>
        <w:rPr>
          <w:rFonts w:hint="eastAsia" w:ascii="仿宋_GB2312" w:hAnsi="仿宋_GB2312" w:eastAsia="仿宋_GB2312" w:cs="仿宋_GB2312"/>
          <w:color w:val="auto"/>
          <w:sz w:val="32"/>
          <w:szCs w:val="32"/>
          <w:lang w:val="en-US" w:eastAsia="zh-CN"/>
        </w:rPr>
        <w:t>服务</w:t>
      </w:r>
      <w:r>
        <w:rPr>
          <w:rFonts w:hint="eastAsia" w:ascii="仿宋_GB2312" w:hAnsi="仿宋_GB2312" w:eastAsia="仿宋_GB2312" w:cs="仿宋_GB2312"/>
          <w:color w:val="auto"/>
          <w:sz w:val="32"/>
          <w:szCs w:val="32"/>
        </w:rPr>
        <w:t>合同。</w:t>
      </w:r>
    </w:p>
    <w:p w14:paraId="68104AEC">
      <w:pPr>
        <w:keepNext w:val="0"/>
        <w:keepLines w:val="0"/>
        <w:pageBreakBefore w:val="0"/>
        <w:widowControl w:val="0"/>
        <w:kinsoku/>
        <w:wordWrap/>
        <w:overflowPunct/>
        <w:topLinePunct w:val="0"/>
        <w:autoSpaceDE/>
        <w:autoSpaceDN/>
        <w:bidi w:val="0"/>
        <w:adjustRightInd/>
        <w:snapToGrid/>
        <w:spacing w:after="0" w:line="560" w:lineRule="exact"/>
        <w:ind w:right="266"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5.食堂服务商</w:t>
      </w:r>
      <w:r>
        <w:rPr>
          <w:rFonts w:hint="eastAsia" w:ascii="仿宋_GB2312" w:hAnsi="仿宋_GB2312" w:eastAsia="仿宋_GB2312" w:cs="仿宋_GB2312"/>
          <w:color w:val="auto"/>
          <w:sz w:val="32"/>
          <w:szCs w:val="32"/>
        </w:rPr>
        <w:t>须负责职工食堂堂食使用抽纸（抽纸质量须符合 GB/T20808-2011 标准）、相应的清洁用品（包括但不限于洗洁精、除垢剂等）。</w:t>
      </w:r>
    </w:p>
    <w:p w14:paraId="308B786F">
      <w:pPr>
        <w:numPr>
          <w:ilvl w:val="0"/>
          <w:numId w:val="0"/>
        </w:numPr>
        <w:ind w:left="735" w:leftChars="0"/>
        <w:rPr>
          <w:rFonts w:hint="default"/>
          <w:lang w:val="en-US" w:eastAsia="zh-CN"/>
        </w:rPr>
      </w:pPr>
      <w:bookmarkStart w:id="0" w:name="_GoBack"/>
      <w:bookmarkEnd w:id="0"/>
    </w:p>
    <w:sectPr>
      <w:headerReference r:id="rId3" w:type="default"/>
      <w:foot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81A5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549399">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549399">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64F57">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E25AE9"/>
    <w:rsid w:val="53A91962"/>
    <w:rsid w:val="59E25AE9"/>
    <w:rsid w:val="72C15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rPr>
      <w:rFonts w:ascii="Calibri" w:hAnsi="Calibri" w:eastAsia="宋体" w:cs="Times New Roma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TML Sample"/>
    <w:basedOn w:val="8"/>
    <w:qFormat/>
    <w:uiPriority w:val="0"/>
    <w:rPr>
      <w:rFonts w:ascii="Courier New" w:hAnsi="Courier New"/>
    </w:rPr>
  </w:style>
  <w:style w:type="character" w:customStyle="1" w:styleId="10">
    <w:name w:val="font31"/>
    <w:basedOn w:val="8"/>
    <w:qFormat/>
    <w:uiPriority w:val="0"/>
    <w:rPr>
      <w:rFonts w:hint="eastAsia" w:ascii="等线" w:hAnsi="等线" w:eastAsia="等线" w:cs="等线"/>
      <w:color w:val="000000"/>
      <w:sz w:val="16"/>
      <w:szCs w:val="16"/>
      <w:u w:val="none"/>
    </w:rPr>
  </w:style>
  <w:style w:type="character" w:customStyle="1" w:styleId="11">
    <w:name w:val="font51"/>
    <w:basedOn w:val="8"/>
    <w:qFormat/>
    <w:uiPriority w:val="0"/>
    <w:rPr>
      <w:rFonts w:ascii="Arial" w:hAnsi="Arial" w:cs="Arial"/>
      <w:color w:val="000000"/>
      <w:sz w:val="16"/>
      <w:szCs w:val="1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1576</Words>
  <Characters>1622</Characters>
  <Lines>0</Lines>
  <Paragraphs>0</Paragraphs>
  <TotalTime>11</TotalTime>
  <ScaleCrop>false</ScaleCrop>
  <LinksUpToDate>false</LinksUpToDate>
  <CharactersWithSpaces>1639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2026-08-24T06:26:00Z</dcterms:created>
  <dc:creator>阿杰87可心dad</dc:creator>
  <cp:lastModifiedBy>阿杰87可心dad</cp:lastModifiedBy>
  <cp:lastPrinted>2026-08-24T10:04:00Z</cp:lastPrinted>
  <dcterms:modified xsi:type="dcterms:W3CDTF">2026-08-24T11:12:45Z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42E18F87C35F4E61A37E963A601559F1_11</vt:lpwstr>
  </property>
  <property fmtid="{D5CDD505-2E9C-101B-9397-08002B2CF9AE}" pid="4" name="KSOTemplateDocerSaveRecord">
    <vt:lpwstr>eyJoZGlkIjoiMjM1MmJkNmExYTliOGExNDk4YzhmNTdlZGVhODFjY2IiLCJ1c2VySWQiOiIyODU4MjAzOCJ9</vt:lpwstr>
  </property>
</Properties>
</file>